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77AD" w14:textId="77777777" w:rsidR="00C57513" w:rsidRDefault="00C57513" w:rsidP="00C57513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</w:p>
    <w:p w14:paraId="7FCA034E" w14:textId="3F888CAC" w:rsidR="006138C5" w:rsidRPr="00E55512" w:rsidRDefault="006138C5" w:rsidP="00C57513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03EDCF1C" w14:textId="77777777" w:rsidR="006138C5" w:rsidRPr="00CF300A" w:rsidRDefault="006138C5" w:rsidP="00C57513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1D27BF10" w:rsidR="006138C5" w:rsidRPr="00CF300A" w:rsidRDefault="006138C5" w:rsidP="00C57513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АТ "Ідея Банк"</w:t>
      </w:r>
    </w:p>
    <w:p w14:paraId="0B94E130" w14:textId="07C1495A" w:rsidR="006138C5" w:rsidRPr="00CF300A" w:rsidRDefault="005D6805" w:rsidP="00C57513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Луценко</w:t>
      </w:r>
      <w:r w:rsidR="006138C5" w:rsidRPr="00CF300A">
        <w:rPr>
          <w:color w:val="000000"/>
          <w:sz w:val="22"/>
          <w:szCs w:val="22"/>
          <w:lang w:val="uk-UA" w:eastAsia="uk-UA"/>
        </w:rPr>
        <w:t>_________</w:t>
      </w:r>
    </w:p>
    <w:p w14:paraId="698F95C6" w14:textId="6EE5E1FC" w:rsidR="006138C5" w:rsidRPr="00E55512" w:rsidRDefault="006138C5" w:rsidP="00C57513">
      <w:pPr>
        <w:ind w:left="3600" w:firstLine="567"/>
        <w:jc w:val="right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 w:rsidR="00DF4D17">
        <w:rPr>
          <w:color w:val="000000"/>
          <w:sz w:val="22"/>
          <w:szCs w:val="22"/>
          <w:lang w:val="uk-UA" w:eastAsia="uk-UA"/>
        </w:rPr>
        <w:t>2</w:t>
      </w:r>
      <w:r w:rsidR="00C57513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EE13620" w14:textId="36AB5608" w:rsidR="00FD0CD1" w:rsidRPr="00FD0CD1" w:rsidRDefault="00FD0CD1" w:rsidP="00FD0CD1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r w:rsidR="007F5146">
        <w:rPr>
          <w:b/>
          <w:bCs/>
          <w:lang w:val="uk-UA"/>
        </w:rPr>
        <w:t>Комплексне обслуговування</w:t>
      </w:r>
      <w:r w:rsidR="005D34E5">
        <w:rPr>
          <w:b/>
          <w:bCs/>
          <w:lang w:val="uk-UA"/>
        </w:rPr>
        <w:t xml:space="preserve"> приміщень </w:t>
      </w:r>
      <w:r w:rsidR="00EE3225">
        <w:rPr>
          <w:b/>
          <w:bCs/>
          <w:lang w:val="uk-UA"/>
        </w:rPr>
        <w:t>АТ «ІДЕЯ БАНК»</w:t>
      </w:r>
    </w:p>
    <w:p w14:paraId="1D433CF2" w14:textId="77777777" w:rsidR="006138C5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5E088A4" w14:textId="77777777" w:rsidR="00C57513" w:rsidRDefault="00C57513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E12F854" w14:textId="77777777" w:rsidR="00C57513" w:rsidRDefault="00C57513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E768DEE" w14:textId="77777777" w:rsidR="00C57513" w:rsidRDefault="00C57513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5135269" w14:textId="77777777" w:rsidR="00C57513" w:rsidRDefault="00C57513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3F7F42B2" w14:textId="77777777" w:rsidR="00C57513" w:rsidRDefault="00C57513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13E7AF8" w14:textId="77777777" w:rsidR="00C57513" w:rsidRDefault="00C57513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8B40615" w14:textId="77777777" w:rsidR="00C57513" w:rsidRDefault="00C57513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8585D36" w14:textId="77777777" w:rsidR="00C57513" w:rsidRDefault="00C57513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2E2C5EF" w14:textId="7677F3AD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C57513"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15E68990" w:rsidR="00C007B1" w:rsidRPr="00936546" w:rsidRDefault="00EE0CBF" w:rsidP="007F514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з </w:t>
            </w:r>
            <w:r w:rsidR="00DB36FD" w:rsidRPr="00DB36FD">
              <w:rPr>
                <w:sz w:val="20"/>
                <w:szCs w:val="20"/>
                <w:lang w:val="uk-UA"/>
              </w:rPr>
              <w:t xml:space="preserve">надання послуг </w:t>
            </w:r>
            <w:r w:rsidR="007F5146" w:rsidRPr="00D8749A">
              <w:rPr>
                <w:sz w:val="20"/>
                <w:szCs w:val="20"/>
                <w:lang w:val="uk-UA"/>
              </w:rPr>
              <w:t xml:space="preserve">комплексного </w:t>
            </w:r>
            <w:r w:rsidR="007F5146">
              <w:rPr>
                <w:sz w:val="20"/>
                <w:szCs w:val="20"/>
                <w:lang w:val="uk-UA"/>
              </w:rPr>
              <w:t>обслуговування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 приміщень </w:t>
            </w:r>
            <w:r w:rsidR="00271B84">
              <w:rPr>
                <w:sz w:val="20"/>
                <w:szCs w:val="20"/>
                <w:lang w:val="uk-UA"/>
              </w:rPr>
              <w:t>Банку.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7B897B83" w:rsidR="00934AC6" w:rsidRPr="009D1946" w:rsidRDefault="00DF4D17" w:rsidP="008C34F6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по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>комплексному обслуговуванню</w:t>
            </w:r>
            <w:r w:rsidR="007F5146" w:rsidRPr="00D8749A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приміщень 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Головних офісів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та мережі відділень Б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анку</w:t>
            </w:r>
            <w:r w:rsidR="00DB36FD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09CE3661" w14:textId="19F95419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1.3.1. Надання послуг по всій території України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перелік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послуг та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адрес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приміщень Банку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подано у файлі з назвою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«</w:t>
            </w:r>
            <w:r w:rsidRPr="00206346">
              <w:rPr>
                <w:bCs/>
                <w:noProof/>
                <w:sz w:val="20"/>
                <w:szCs w:val="20"/>
                <w:lang w:val="uk-UA"/>
              </w:rPr>
              <w:t>Додаток 2 Технічне завдання</w:t>
            </w:r>
            <w:r>
              <w:rPr>
                <w:bCs/>
                <w:noProof/>
                <w:sz w:val="20"/>
                <w:szCs w:val="20"/>
                <w:lang w:val="uk-UA"/>
              </w:rPr>
              <w:t>»);</w:t>
            </w:r>
          </w:p>
          <w:p w14:paraId="4708D193" w14:textId="77777777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1.3.2.  Оплата виключно по перерахунку та по факту виконаних робіт (післяоплата);</w:t>
            </w:r>
          </w:p>
          <w:p w14:paraId="385CBFEE" w14:textId="77777777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1.3.3.   </w:t>
            </w:r>
            <w:r w:rsidRPr="009D650E">
              <w:rPr>
                <w:bCs/>
                <w:noProof/>
                <w:sz w:val="20"/>
                <w:szCs w:val="20"/>
                <w:lang w:val="uk-UA"/>
              </w:rPr>
              <w:t>Можливість централізованої оплати (</w:t>
            </w:r>
            <w:r>
              <w:rPr>
                <w:bCs/>
                <w:noProof/>
                <w:sz w:val="20"/>
                <w:szCs w:val="20"/>
                <w:lang w:val="uk-UA"/>
              </w:rPr>
              <w:t>один</w:t>
            </w:r>
            <w:r w:rsidRPr="009D650E">
              <w:rPr>
                <w:bCs/>
                <w:noProof/>
                <w:sz w:val="20"/>
                <w:szCs w:val="20"/>
                <w:lang w:val="uk-UA"/>
              </w:rPr>
              <w:t xml:space="preserve"> рахунок-факту</w:t>
            </w:r>
            <w:r>
              <w:rPr>
                <w:bCs/>
                <w:noProof/>
                <w:sz w:val="20"/>
                <w:szCs w:val="20"/>
                <w:lang w:val="uk-UA"/>
              </w:rPr>
              <w:t>ра в місяць);</w:t>
            </w:r>
          </w:p>
          <w:p w14:paraId="593BEAE5" w14:textId="77777777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1.3.4.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Надання звітності по виконанню робіт і послуг (інформація подається у заповненій таблиці </w:t>
            </w:r>
            <w:r w:rsidRPr="00D20D95">
              <w:rPr>
                <w:bCs/>
                <w:noProof/>
                <w:sz w:val="20"/>
                <w:szCs w:val="20"/>
                <w:lang w:val="en-US"/>
              </w:rPr>
              <w:t>Excel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6AAF406F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1.3.</w:t>
            </w:r>
            <w:r>
              <w:rPr>
                <w:bCs/>
                <w:noProof/>
                <w:sz w:val="20"/>
                <w:szCs w:val="20"/>
                <w:lang w:val="uk-UA"/>
              </w:rPr>
              <w:t>5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Підрядник зобов'язується вчасно виконувати роботи і послуги.</w:t>
            </w:r>
          </w:p>
          <w:p w14:paraId="6047DC15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1.3.6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Фірма учасник повинна працювати на ринку більше 3 років.</w:t>
            </w:r>
          </w:p>
          <w:p w14:paraId="3FD2F1D6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1.3.7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16F29280" w14:textId="10BA83D1" w:rsidR="00934AC6" w:rsidRDefault="007F5146" w:rsidP="00AA6BEC">
            <w:pPr>
              <w:shd w:val="clear" w:color="auto" w:fill="FFFFFF"/>
              <w:spacing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1.3.8.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DB36FD"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346347D5" w14:textId="2D63D93B" w:rsidR="00E64137" w:rsidRPr="00DF4D17" w:rsidRDefault="007F5146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1.3.9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. Відкриття поточного рахунку в АТ "Ідея Банк" для здійснення всіх розрахунків за договором, у випадку визнання переможцем тендеру;</w:t>
            </w:r>
          </w:p>
          <w:p w14:paraId="3072485E" w14:textId="1DD9D1B7" w:rsidR="00E64137" w:rsidRDefault="007F5146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1.3.10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. Фіксація цін на термін дії Договору (у випадку визнання переможцем Тендеру);</w:t>
            </w:r>
          </w:p>
          <w:p w14:paraId="79F21D5E" w14:textId="4B5E7636" w:rsidR="00E64137" w:rsidRPr="00936546" w:rsidRDefault="007F5146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1.3.11. 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422629E7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AE1100" w:rsidRPr="00AE110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3E7F3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5</w:t>
            </w:r>
            <w:r w:rsidR="007F5146" w:rsidRPr="00AE110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.0</w:t>
            </w:r>
            <w:r w:rsidR="00AE1100" w:rsidRPr="00AE110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</w:t>
            </w:r>
            <w:r w:rsidR="00C5751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6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1BA276CA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3E7F3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01</w:t>
            </w:r>
            <w:r w:rsidR="00FE71D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3E7F37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6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C57513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3B4D14DD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AE1100">
              <w:rPr>
                <w:b/>
                <w:sz w:val="20"/>
                <w:szCs w:val="20"/>
                <w:lang w:val="uk-UA"/>
              </w:rPr>
              <w:t>0</w:t>
            </w:r>
            <w:r w:rsidR="003E7F37">
              <w:rPr>
                <w:b/>
                <w:sz w:val="20"/>
                <w:szCs w:val="20"/>
                <w:lang w:val="en-US"/>
              </w:rPr>
              <w:t>8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="00AE110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C57513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7F5146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25078D57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1EEE83CB" w:rsidR="008B0883" w:rsidRPr="0053594B" w:rsidRDefault="004F07F6" w:rsidP="00C57513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7F5146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F5146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F5146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5.1. Особи, уповноваженим Замовником безпосередньо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lastRenderedPageBreak/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lastRenderedPageBreak/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77AC" w14:textId="77777777" w:rsidR="00C7515A" w:rsidRDefault="00C7515A" w:rsidP="006138C5">
      <w:r>
        <w:separator/>
      </w:r>
    </w:p>
  </w:endnote>
  <w:endnote w:type="continuationSeparator" w:id="0">
    <w:p w14:paraId="6A220AD1" w14:textId="77777777" w:rsidR="00C7515A" w:rsidRDefault="00C7515A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8620" w14:textId="77777777" w:rsidR="00C7515A" w:rsidRDefault="00C7515A" w:rsidP="006138C5">
      <w:r>
        <w:separator/>
      </w:r>
    </w:p>
  </w:footnote>
  <w:footnote w:type="continuationSeparator" w:id="0">
    <w:p w14:paraId="55349F2D" w14:textId="77777777" w:rsidR="00C7515A" w:rsidRDefault="00C7515A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2C8504" w14:textId="41F8B815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16768EC4" w:rsidR="004F01D0" w:rsidRDefault="00867DF6" w:rsidP="007F5146">
        <w:pPr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«</w:t>
        </w:r>
        <w:r w:rsidR="00B54A72">
          <w:rPr>
            <w:i/>
            <w:sz w:val="20"/>
            <w:lang w:val="uk-UA"/>
          </w:rPr>
          <w:t>Комплексне о</w:t>
        </w:r>
        <w:r w:rsidR="007F5146">
          <w:rPr>
            <w:i/>
            <w:sz w:val="20"/>
            <w:lang w:val="uk-UA"/>
          </w:rPr>
          <w:t>бслуговування</w:t>
        </w:r>
        <w:r w:rsidR="005D34E5">
          <w:rPr>
            <w:i/>
            <w:sz w:val="20"/>
            <w:lang w:val="uk-UA"/>
          </w:rPr>
          <w:t xml:space="preserve"> приміщень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B54A72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Pr="00C57513" w:rsidRDefault="004F01D0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1157687">
    <w:abstractNumId w:val="3"/>
  </w:num>
  <w:num w:numId="2" w16cid:durableId="969751072">
    <w:abstractNumId w:val="1"/>
  </w:num>
  <w:num w:numId="3" w16cid:durableId="278070844">
    <w:abstractNumId w:val="8"/>
  </w:num>
  <w:num w:numId="4" w16cid:durableId="1027483076">
    <w:abstractNumId w:val="2"/>
  </w:num>
  <w:num w:numId="5" w16cid:durableId="165098191">
    <w:abstractNumId w:val="7"/>
  </w:num>
  <w:num w:numId="6" w16cid:durableId="123859451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253128453">
    <w:abstractNumId w:val="5"/>
  </w:num>
  <w:num w:numId="8" w16cid:durableId="573392561">
    <w:abstractNumId w:val="4"/>
  </w:num>
  <w:num w:numId="9" w16cid:durableId="544607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72FE0"/>
    <w:rsid w:val="00184418"/>
    <w:rsid w:val="00195768"/>
    <w:rsid w:val="001B1010"/>
    <w:rsid w:val="001D61F5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60492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E7F37"/>
    <w:rsid w:val="003F7AEC"/>
    <w:rsid w:val="00430207"/>
    <w:rsid w:val="004357FA"/>
    <w:rsid w:val="00442D59"/>
    <w:rsid w:val="00456A47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34E5"/>
    <w:rsid w:val="005D6805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C79E3"/>
    <w:rsid w:val="007053B4"/>
    <w:rsid w:val="007073A9"/>
    <w:rsid w:val="007119E5"/>
    <w:rsid w:val="00737288"/>
    <w:rsid w:val="00743D7D"/>
    <w:rsid w:val="00762927"/>
    <w:rsid w:val="00771EB5"/>
    <w:rsid w:val="007746D3"/>
    <w:rsid w:val="00776EE7"/>
    <w:rsid w:val="007956B9"/>
    <w:rsid w:val="007B7921"/>
    <w:rsid w:val="007C085B"/>
    <w:rsid w:val="007C6D26"/>
    <w:rsid w:val="007F0240"/>
    <w:rsid w:val="007F5146"/>
    <w:rsid w:val="008229FA"/>
    <w:rsid w:val="008417DD"/>
    <w:rsid w:val="00866DE3"/>
    <w:rsid w:val="00867DF6"/>
    <w:rsid w:val="008704CB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87E4A"/>
    <w:rsid w:val="00A97190"/>
    <w:rsid w:val="00AA5DEC"/>
    <w:rsid w:val="00AA6BEC"/>
    <w:rsid w:val="00AB3276"/>
    <w:rsid w:val="00AB5B2B"/>
    <w:rsid w:val="00AB68EC"/>
    <w:rsid w:val="00AC3FCD"/>
    <w:rsid w:val="00AE1100"/>
    <w:rsid w:val="00AF22B8"/>
    <w:rsid w:val="00B03705"/>
    <w:rsid w:val="00B20239"/>
    <w:rsid w:val="00B24099"/>
    <w:rsid w:val="00B44B6D"/>
    <w:rsid w:val="00B513BE"/>
    <w:rsid w:val="00B52C45"/>
    <w:rsid w:val="00B54A72"/>
    <w:rsid w:val="00B77EE9"/>
    <w:rsid w:val="00B833BC"/>
    <w:rsid w:val="00B84369"/>
    <w:rsid w:val="00BC0250"/>
    <w:rsid w:val="00BC1E82"/>
    <w:rsid w:val="00BC7031"/>
    <w:rsid w:val="00BD3929"/>
    <w:rsid w:val="00C007B1"/>
    <w:rsid w:val="00C16E3D"/>
    <w:rsid w:val="00C327E7"/>
    <w:rsid w:val="00C556F9"/>
    <w:rsid w:val="00C57513"/>
    <w:rsid w:val="00C6355D"/>
    <w:rsid w:val="00C6586B"/>
    <w:rsid w:val="00C7515A"/>
    <w:rsid w:val="00C94D64"/>
    <w:rsid w:val="00CA15B2"/>
    <w:rsid w:val="00CA6A16"/>
    <w:rsid w:val="00CC0429"/>
    <w:rsid w:val="00CF300A"/>
    <w:rsid w:val="00CF59C5"/>
    <w:rsid w:val="00D04B50"/>
    <w:rsid w:val="00D221B5"/>
    <w:rsid w:val="00D23F4D"/>
    <w:rsid w:val="00D52C6B"/>
    <w:rsid w:val="00D615AC"/>
    <w:rsid w:val="00D72103"/>
    <w:rsid w:val="00D73F4A"/>
    <w:rsid w:val="00DA531D"/>
    <w:rsid w:val="00DB36FD"/>
    <w:rsid w:val="00DC0084"/>
    <w:rsid w:val="00DD678A"/>
    <w:rsid w:val="00DF4D17"/>
    <w:rsid w:val="00E14277"/>
    <w:rsid w:val="00E17FAD"/>
    <w:rsid w:val="00E21BFC"/>
    <w:rsid w:val="00E22FBA"/>
    <w:rsid w:val="00E2379F"/>
    <w:rsid w:val="00E4095E"/>
    <w:rsid w:val="00E51DF3"/>
    <w:rsid w:val="00E63D58"/>
    <w:rsid w:val="00E64137"/>
    <w:rsid w:val="00E84383"/>
    <w:rsid w:val="00E91526"/>
    <w:rsid w:val="00EA113B"/>
    <w:rsid w:val="00EB08BA"/>
    <w:rsid w:val="00ED1C41"/>
    <w:rsid w:val="00EE0CBF"/>
    <w:rsid w:val="00EE3225"/>
    <w:rsid w:val="00EF1064"/>
    <w:rsid w:val="00EF538D"/>
    <w:rsid w:val="00EF5465"/>
    <w:rsid w:val="00EF6BC6"/>
    <w:rsid w:val="00F24A0A"/>
    <w:rsid w:val="00F51BB6"/>
    <w:rsid w:val="00F71259"/>
    <w:rsid w:val="00F74FE1"/>
    <w:rsid w:val="00F94EA3"/>
    <w:rsid w:val="00FC4997"/>
    <w:rsid w:val="00FD0CD1"/>
    <w:rsid w:val="00FE7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AFA4332A-E936-4EEF-B89F-D6CB5D4C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6273</Words>
  <Characters>3577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 IT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Солодкий Володимир</cp:lastModifiedBy>
  <cp:revision>7</cp:revision>
  <cp:lastPrinted>2019-02-22T14:13:00Z</cp:lastPrinted>
  <dcterms:created xsi:type="dcterms:W3CDTF">2024-03-27T12:56:00Z</dcterms:created>
  <dcterms:modified xsi:type="dcterms:W3CDTF">2026-05-14T12:57:00Z</dcterms:modified>
</cp:coreProperties>
</file>