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57C63D09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</w:t>
      </w:r>
      <w:r w:rsidRPr="00E5131F">
        <w:rPr>
          <w:b/>
          <w:bCs/>
          <w:color w:val="000000"/>
          <w:sz w:val="22"/>
          <w:szCs w:val="22"/>
          <w:lang w:val="uk-UA" w:eastAsia="uk-UA"/>
        </w:rPr>
        <w:t>_________ 202</w:t>
      </w:r>
      <w:r w:rsidR="00E5131F">
        <w:rPr>
          <w:b/>
          <w:bCs/>
          <w:color w:val="000000"/>
          <w:sz w:val="22"/>
          <w:szCs w:val="22"/>
          <w:lang w:val="uk-UA" w:eastAsia="uk-UA"/>
        </w:rPr>
        <w:t>6</w:t>
      </w:r>
      <w:r w:rsidRPr="00E5131F">
        <w:rPr>
          <w:b/>
          <w:bCs/>
          <w:color w:val="000000"/>
          <w:sz w:val="22"/>
          <w:szCs w:val="22"/>
          <w:lang w:val="uk-UA" w:eastAsia="uk-UA"/>
        </w:rPr>
        <w:t>р</w:t>
      </w:r>
      <w:r w:rsidRPr="00E5131F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425C96DC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>«ВИГОТОВЛЕННЯ ТА РЕМОНТ РЕКЛАМНИХ КОНСТРУКЦІЙ ДЛЯ АТ "ІДЕЯ БАНК"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4CCFCDFD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D04D8F">
        <w:rPr>
          <w:b/>
          <w:bCs/>
          <w:lang w:val="uk-UA"/>
        </w:rPr>
        <w:t>20</w:t>
      </w:r>
      <w:r w:rsidR="00B77EE9" w:rsidRPr="00D04D8F">
        <w:rPr>
          <w:b/>
          <w:bCs/>
          <w:lang w:val="en-US"/>
        </w:rPr>
        <w:t>2</w:t>
      </w:r>
      <w:r w:rsidR="00D04D8F" w:rsidRPr="00D04D8F">
        <w:rPr>
          <w:b/>
          <w:bCs/>
          <w:lang w:val="uk-UA"/>
        </w:rPr>
        <w:t>6</w:t>
      </w:r>
      <w:r w:rsidRPr="00D04D8F">
        <w:rPr>
          <w:b/>
          <w:bCs/>
          <w:lang w:val="uk-UA"/>
        </w:rPr>
        <w:t xml:space="preserve"> 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48F47FD1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30257D">
              <w:rPr>
                <w:sz w:val="20"/>
                <w:szCs w:val="20"/>
                <w:lang w:val="uk-UA"/>
              </w:rPr>
              <w:t xml:space="preserve">з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виготовлення та ремонт</w:t>
            </w:r>
            <w:r w:rsidR="0030257D">
              <w:rPr>
                <w:bCs/>
                <w:sz w:val="20"/>
                <w:szCs w:val="20"/>
                <w:lang w:val="uk-UA"/>
              </w:rPr>
              <w:t>у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 xml:space="preserve"> рекламних конструкцій (в т.ч. поклейка вітрин)  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1E8432F1" w14:textId="77777777" w:rsidR="00934AC6" w:rsidRDefault="0011471A" w:rsidP="0011471A">
            <w:pPr>
              <w:shd w:val="clear" w:color="auto" w:fill="FFFFFF"/>
              <w:ind w:firstLine="11"/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на</w:t>
            </w:r>
            <w:r w:rsidRPr="00384208">
              <w:rPr>
                <w:bCs/>
                <w:sz w:val="20"/>
                <w:szCs w:val="20"/>
                <w:lang w:val="uk-UA"/>
              </w:rPr>
              <w:t xml:space="preserve"> виготовлення та ремонт рекламних конструкцій (в т.ч. поклейка вітрин) для АТ "Ідея Банк"</w:t>
            </w:r>
          </w:p>
          <w:p w14:paraId="7E620D2B" w14:textId="2457C76E" w:rsidR="0011471A" w:rsidRPr="009D1946" w:rsidRDefault="0011471A" w:rsidP="0011471A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11471A" w:rsidRPr="007746D3" w14:paraId="585D9C47" w14:textId="77777777" w:rsidTr="0011471A">
        <w:tc>
          <w:tcPr>
            <w:tcW w:w="2645" w:type="dxa"/>
          </w:tcPr>
          <w:p w14:paraId="25ABD192" w14:textId="1A6A21A8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D04D8F">
              <w:rPr>
                <w:b/>
                <w:bCs/>
                <w:sz w:val="20"/>
                <w:szCs w:val="20"/>
                <w:lang w:val="uk-UA"/>
              </w:rPr>
              <w:t xml:space="preserve">1.3. Основні </w:t>
            </w:r>
            <w:r w:rsidR="004218B8" w:rsidRPr="00D04D8F">
              <w:rPr>
                <w:b/>
                <w:bCs/>
                <w:sz w:val="20"/>
                <w:szCs w:val="20"/>
                <w:lang w:val="uk-UA"/>
              </w:rPr>
              <w:t>умови</w:t>
            </w:r>
          </w:p>
        </w:tc>
        <w:tc>
          <w:tcPr>
            <w:tcW w:w="6710" w:type="dxa"/>
          </w:tcPr>
          <w:p w14:paraId="190C674D" w14:textId="32906315" w:rsidR="0011471A" w:rsidRPr="00384208" w:rsidRDefault="0011471A" w:rsidP="0011471A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Основні </w:t>
            </w:r>
            <w:r w:rsidR="004218B8">
              <w:rPr>
                <w:bCs/>
                <w:noProof/>
                <w:sz w:val="20"/>
                <w:szCs w:val="20"/>
                <w:lang w:val="uk-UA"/>
              </w:rPr>
              <w:t>умови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 до предмета в рамках тендера</w:t>
            </w:r>
            <w:r w:rsidR="00366CB9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>викладені в технічному завданні – «</w:t>
            </w:r>
            <w:r w:rsidRPr="00384208">
              <w:rPr>
                <w:bCs/>
                <w:sz w:val="20"/>
                <w:szCs w:val="20"/>
              </w:rPr>
              <w:t>Виготовлення та ремонт рекламних конструкцій</w:t>
            </w:r>
            <w:r w:rsidRPr="00384208">
              <w:rPr>
                <w:bCs/>
                <w:sz w:val="20"/>
                <w:szCs w:val="20"/>
                <w:lang w:val="uk-UA"/>
              </w:rPr>
              <w:t>»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sz w:val="20"/>
                <w:szCs w:val="20"/>
                <w:lang w:val="uk-UA"/>
              </w:rPr>
              <w:t>(в т.ч. поклейка вітрин)  для АТ "Ідея Банк"</w:t>
            </w:r>
            <w:r w:rsidR="00C042DB">
              <w:rPr>
                <w:bCs/>
                <w:sz w:val="20"/>
                <w:szCs w:val="20"/>
                <w:lang w:val="uk-UA"/>
              </w:rPr>
              <w:t>,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042DB">
              <w:rPr>
                <w:bCs/>
                <w:sz w:val="20"/>
                <w:szCs w:val="20"/>
                <w:lang w:val="uk-UA"/>
              </w:rPr>
              <w:t>Додаток 2 Технічне завдання</w:t>
            </w:r>
          </w:p>
          <w:p w14:paraId="0BE3C17A" w14:textId="77777777" w:rsidR="0011471A" w:rsidRPr="00384208" w:rsidRDefault="0011471A" w:rsidP="0011471A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3B822A41" w14:textId="13505FB0" w:rsidR="0011471A" w:rsidRPr="00384208" w:rsidRDefault="0011471A" w:rsidP="0011471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84208">
              <w:rPr>
                <w:b/>
                <w:bCs/>
                <w:sz w:val="20"/>
                <w:szCs w:val="20"/>
                <w:lang w:val="uk-UA"/>
              </w:rPr>
              <w:t xml:space="preserve">Додаткові </w:t>
            </w:r>
            <w:r w:rsidR="004218B8">
              <w:rPr>
                <w:b/>
                <w:bCs/>
                <w:sz w:val="20"/>
                <w:szCs w:val="20"/>
                <w:lang w:val="uk-UA"/>
              </w:rPr>
              <w:t>умови</w:t>
            </w:r>
            <w:r w:rsidRPr="00384208">
              <w:rPr>
                <w:b/>
                <w:bCs/>
                <w:sz w:val="20"/>
                <w:szCs w:val="20"/>
                <w:lang w:val="uk-UA"/>
              </w:rPr>
              <w:t xml:space="preserve"> до учасників тендеру:</w:t>
            </w:r>
          </w:p>
          <w:p w14:paraId="0B9BDDA7" w14:textId="77777777" w:rsidR="0011471A" w:rsidRPr="0011471A" w:rsidRDefault="0011471A" w:rsidP="0011471A">
            <w:pPr>
              <w:pStyle w:val="a9"/>
              <w:numPr>
                <w:ilvl w:val="0"/>
                <w:numId w:val="11"/>
              </w:numPr>
              <w:rPr>
                <w:color w:val="000000"/>
                <w:lang w:val="uk-UA"/>
              </w:rPr>
            </w:pPr>
            <w:r w:rsidRPr="0011471A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44775F6C" w14:textId="77777777" w:rsidR="0011471A" w:rsidRDefault="0011471A" w:rsidP="00145F88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11471A">
              <w:rPr>
                <w:color w:val="000000"/>
                <w:sz w:val="20"/>
                <w:szCs w:val="20"/>
                <w:lang w:val="uk-UA"/>
              </w:rPr>
              <w:t>100% післяоплата;</w:t>
            </w:r>
          </w:p>
          <w:p w14:paraId="59E53E4E" w14:textId="77777777" w:rsidR="003E543B" w:rsidRDefault="0011471A" w:rsidP="000517CC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        післяоплата</w:t>
            </w:r>
            <w:r w:rsidR="003E543B" w:rsidRPr="003E543B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14:paraId="0AC07EF0" w14:textId="7F4374D0" w:rsidR="0011471A" w:rsidRPr="00D04D8F" w:rsidRDefault="0011471A" w:rsidP="000517CC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sz w:val="20"/>
                <w:szCs w:val="20"/>
                <w:lang w:val="uk-UA"/>
              </w:rPr>
            </w:pPr>
            <w:r w:rsidRPr="00D04D8F">
              <w:rPr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15D2820D" w14:textId="2FEF40FC" w:rsidR="0011471A" w:rsidRPr="00D04D8F" w:rsidRDefault="0011471A" w:rsidP="0011471A">
            <w:pPr>
              <w:pStyle w:val="a9"/>
              <w:tabs>
                <w:tab w:val="left" w:pos="1134"/>
              </w:tabs>
              <w:ind w:left="760"/>
              <w:rPr>
                <w:sz w:val="20"/>
                <w:szCs w:val="20"/>
                <w:lang w:val="uk-UA"/>
              </w:rPr>
            </w:pPr>
            <w:r w:rsidRPr="00D04D8F">
              <w:rPr>
                <w:sz w:val="20"/>
                <w:szCs w:val="20"/>
                <w:lang w:val="uk-UA"/>
              </w:rPr>
              <w:t xml:space="preserve">      на підставі рахунку, виписаного  після підписання актів</w:t>
            </w:r>
          </w:p>
          <w:p w14:paraId="47D3DD6D" w14:textId="0056E526" w:rsidR="0011471A" w:rsidRPr="00D04D8F" w:rsidRDefault="0011471A" w:rsidP="0011471A">
            <w:pPr>
              <w:pStyle w:val="a9"/>
              <w:tabs>
                <w:tab w:val="left" w:pos="1134"/>
              </w:tabs>
              <w:ind w:left="760"/>
              <w:rPr>
                <w:sz w:val="20"/>
                <w:szCs w:val="20"/>
                <w:lang w:val="uk-UA"/>
              </w:rPr>
            </w:pPr>
            <w:r w:rsidRPr="00D04D8F">
              <w:rPr>
                <w:sz w:val="20"/>
                <w:szCs w:val="20"/>
                <w:lang w:val="uk-UA"/>
              </w:rPr>
              <w:t xml:space="preserve">      виконаних. </w:t>
            </w:r>
          </w:p>
          <w:p w14:paraId="25E27AFC" w14:textId="77777777" w:rsidR="0011471A" w:rsidRPr="0011471A" w:rsidRDefault="0011471A" w:rsidP="0011471A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11471A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5B713F97" w14:textId="77777777" w:rsidR="003E543B" w:rsidRPr="003E543B" w:rsidRDefault="0011471A" w:rsidP="000D1CAD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4876EC7A" w14:textId="77777777" w:rsidR="003E543B" w:rsidRPr="003E543B" w:rsidRDefault="0011471A" w:rsidP="009E0C1F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1875E15A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7D52EA65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Наявність прямих договорів з транспортними компаніями і т.д.</w:t>
            </w:r>
          </w:p>
          <w:p w14:paraId="70F72770" w14:textId="0B22E602" w:rsidR="0011471A" w:rsidRPr="003E543B" w:rsidRDefault="0011471A" w:rsidP="003E543B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3E543B">
              <w:rPr>
                <w:b/>
                <w:bCs/>
                <w:color w:val="000000"/>
                <w:sz w:val="20"/>
                <w:szCs w:val="20"/>
                <w:lang w:val="uk-UA"/>
              </w:rPr>
              <w:t>Критерій визначення Переможця тендеру.</w:t>
            </w:r>
          </w:p>
          <w:p w14:paraId="54B0F28A" w14:textId="617AF5A9" w:rsidR="0011471A" w:rsidRPr="00384208" w:rsidRDefault="0011471A" w:rsidP="0011471A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i/>
                <w:color w:val="000000"/>
                <w:sz w:val="20"/>
                <w:szCs w:val="20"/>
                <w:lang w:val="uk-UA"/>
              </w:rPr>
              <w:t xml:space="preserve">       При визначенні Переможця використовуються такі оцінювані показники комерційних пропозицій:</w:t>
            </w:r>
          </w:p>
          <w:p w14:paraId="180998E9" w14:textId="77777777" w:rsidR="00A61D6B" w:rsidRPr="00384208" w:rsidRDefault="00A61D6B" w:rsidP="00A61D6B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Загальна вартість робіт;</w:t>
            </w:r>
          </w:p>
          <w:p w14:paraId="69200CEB" w14:textId="77777777" w:rsidR="00750CE0" w:rsidRPr="003109FC" w:rsidRDefault="00750CE0" w:rsidP="00750CE0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109FC">
              <w:rPr>
                <w:sz w:val="20"/>
                <w:szCs w:val="20"/>
                <w:lang w:val="uk-UA"/>
              </w:rPr>
              <w:t>Фіксація цін згідно договору;</w:t>
            </w:r>
          </w:p>
          <w:p w14:paraId="235585E8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Умови оплати згідно договору;</w:t>
            </w:r>
          </w:p>
          <w:p w14:paraId="51695366" w14:textId="77777777" w:rsidR="0011471A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Гарантійні умови на товари/матеріали/послуги;</w:t>
            </w:r>
          </w:p>
          <w:p w14:paraId="79F21D5E" w14:textId="22477D6C" w:rsidR="0011471A" w:rsidRPr="00936546" w:rsidRDefault="0011471A" w:rsidP="003E543B">
            <w:pPr>
              <w:pStyle w:val="a9"/>
              <w:numPr>
                <w:ilvl w:val="0"/>
                <w:numId w:val="10"/>
              </w:numPr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 по</w:t>
            </w:r>
            <w:r w:rsidRPr="00384208">
              <w:rPr>
                <w:sz w:val="20"/>
                <w:szCs w:val="20"/>
                <w:lang w:val="uk-UA"/>
              </w:rPr>
              <w:t xml:space="preserve"> всій території України</w:t>
            </w:r>
            <w:r w:rsidR="003E543B">
              <w:rPr>
                <w:sz w:val="20"/>
                <w:szCs w:val="20"/>
                <w:lang w:val="uk-UA"/>
              </w:rPr>
              <w:t>, окрім тимчасово окупованих територій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6EF6BF73" w14:textId="066CBC43" w:rsidR="0011471A" w:rsidRPr="004F01D0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D04D8F" w:rsidRPr="00D04D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C258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8B014B" w:rsidRPr="00D04D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D04D8F" w:rsidRPr="00D04D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01</w:t>
            </w:r>
            <w:r w:rsidR="008B014B" w:rsidRPr="00D04D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D04D8F" w:rsidRPr="00D04D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8B014B" w:rsidRPr="00D04D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р.</w:t>
            </w:r>
          </w:p>
          <w:p w14:paraId="0B1B8AE7" w14:textId="77777777" w:rsidR="0011471A" w:rsidRPr="009C3BD4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24BBA780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D04D8F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D04D8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04D8F" w:rsidRPr="00D04D8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D04D8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8B014B" w:rsidRPr="00D04D8F">
              <w:rPr>
                <w:b/>
                <w:spacing w:val="4"/>
                <w:sz w:val="20"/>
                <w:szCs w:val="20"/>
                <w:lang w:val="uk-UA"/>
              </w:rPr>
              <w:t>.</w:t>
            </w:r>
            <w:r w:rsidR="00D04D8F" w:rsidRPr="00D04D8F">
              <w:rPr>
                <w:b/>
                <w:spacing w:val="4"/>
                <w:sz w:val="20"/>
                <w:szCs w:val="20"/>
                <w:lang w:val="uk-UA"/>
              </w:rPr>
              <w:t>01</w:t>
            </w:r>
            <w:r w:rsidR="008B014B" w:rsidRPr="00D04D8F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D04D8F" w:rsidRPr="00D04D8F">
              <w:rPr>
                <w:b/>
                <w:spacing w:val="4"/>
                <w:sz w:val="20"/>
                <w:szCs w:val="20"/>
                <w:lang w:val="uk-UA"/>
              </w:rPr>
              <w:t>6</w:t>
            </w:r>
            <w:r w:rsidR="008B014B" w:rsidRPr="00D04D8F">
              <w:rPr>
                <w:b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699FB478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D04D8F" w:rsidRPr="00D04D8F">
              <w:rPr>
                <w:b/>
                <w:sz w:val="20"/>
                <w:szCs w:val="20"/>
                <w:lang w:val="uk-UA"/>
              </w:rPr>
              <w:t>2</w:t>
            </w:r>
            <w:r w:rsidR="00C25891">
              <w:rPr>
                <w:b/>
                <w:sz w:val="20"/>
                <w:szCs w:val="20"/>
                <w:lang w:val="uk-UA"/>
              </w:rPr>
              <w:t>8</w:t>
            </w:r>
            <w:r w:rsidR="00B24876" w:rsidRPr="00D04D8F">
              <w:rPr>
                <w:b/>
                <w:sz w:val="20"/>
                <w:szCs w:val="20"/>
                <w:lang w:val="uk-UA"/>
              </w:rPr>
              <w:t>.</w:t>
            </w:r>
            <w:r w:rsidR="00D04D8F" w:rsidRPr="00D04D8F">
              <w:rPr>
                <w:b/>
                <w:sz w:val="20"/>
                <w:szCs w:val="20"/>
                <w:lang w:val="uk-UA"/>
              </w:rPr>
              <w:t>01</w:t>
            </w:r>
            <w:r w:rsidR="00B24876" w:rsidRPr="00D04D8F">
              <w:rPr>
                <w:b/>
                <w:sz w:val="20"/>
                <w:szCs w:val="20"/>
                <w:lang w:val="uk-UA"/>
              </w:rPr>
              <w:t>.202</w:t>
            </w:r>
            <w:r w:rsidR="00D04D8F" w:rsidRPr="00D04D8F">
              <w:rPr>
                <w:b/>
                <w:sz w:val="20"/>
                <w:szCs w:val="20"/>
                <w:lang w:val="uk-UA"/>
              </w:rPr>
              <w:t>6</w:t>
            </w:r>
            <w:r w:rsidR="00FA00CB" w:rsidRPr="00D04D8F">
              <w:rPr>
                <w:b/>
                <w:sz w:val="20"/>
                <w:szCs w:val="20"/>
                <w:lang w:val="uk-UA"/>
              </w:rPr>
              <w:t xml:space="preserve"> </w:t>
            </w:r>
            <w:r w:rsidR="00B24876" w:rsidRPr="00D04D8F">
              <w:rPr>
                <w:b/>
                <w:sz w:val="20"/>
                <w:szCs w:val="20"/>
                <w:lang w:val="uk-UA"/>
              </w:rPr>
              <w:t>р.</w:t>
            </w:r>
          </w:p>
        </w:tc>
      </w:tr>
      <w:tr w:rsidR="0011471A" w:rsidRPr="00B932B1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11471A" w:rsidRPr="00131D4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5AC3E348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  <w:p w14:paraId="1360272B" w14:textId="77777777" w:rsidR="000F08AB" w:rsidRPr="008B0883" w:rsidRDefault="000F08AB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B932B1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B932B1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692660C" w14:textId="6E69C443" w:rsidR="0011471A" w:rsidRPr="00255D8C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8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B932B1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211D" w14:textId="77777777" w:rsidR="00AF7E99" w:rsidRDefault="00AF7E99" w:rsidP="006138C5">
      <w:r>
        <w:separator/>
      </w:r>
    </w:p>
  </w:endnote>
  <w:endnote w:type="continuationSeparator" w:id="0">
    <w:p w14:paraId="6ACF912C" w14:textId="77777777" w:rsidR="00AF7E99" w:rsidRDefault="00AF7E99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311F" w14:textId="77777777" w:rsidR="00AF7E99" w:rsidRDefault="00AF7E99" w:rsidP="006138C5">
      <w:r>
        <w:separator/>
      </w:r>
    </w:p>
  </w:footnote>
  <w:footnote w:type="continuationSeparator" w:id="0">
    <w:p w14:paraId="26D18C53" w14:textId="77777777" w:rsidR="00AF7E99" w:rsidRDefault="00AF7E99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3F4213A0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>«ВИГОТОВЛЕННЯ ТА РЕМОНТ РЕКЛАМНИХ КОНСТРУКЦІЙ 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21461404">
    <w:abstractNumId w:val="12"/>
  </w:num>
  <w:num w:numId="11" w16cid:durableId="503784583">
    <w:abstractNumId w:val="3"/>
  </w:num>
  <w:num w:numId="12" w16cid:durableId="1606301740">
    <w:abstractNumId w:val="9"/>
  </w:num>
  <w:num w:numId="13" w16cid:durableId="141699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08AB"/>
    <w:rsid w:val="000F173A"/>
    <w:rsid w:val="000F1927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B5368"/>
    <w:rsid w:val="001B5F2D"/>
    <w:rsid w:val="001D61F5"/>
    <w:rsid w:val="002055D6"/>
    <w:rsid w:val="0020583D"/>
    <w:rsid w:val="00213464"/>
    <w:rsid w:val="002140A6"/>
    <w:rsid w:val="00217264"/>
    <w:rsid w:val="00235710"/>
    <w:rsid w:val="00255D8C"/>
    <w:rsid w:val="0026275F"/>
    <w:rsid w:val="00276516"/>
    <w:rsid w:val="00284719"/>
    <w:rsid w:val="002875B0"/>
    <w:rsid w:val="002B4BCD"/>
    <w:rsid w:val="002B5DF4"/>
    <w:rsid w:val="002B6AE6"/>
    <w:rsid w:val="002D2954"/>
    <w:rsid w:val="002D319C"/>
    <w:rsid w:val="002E0239"/>
    <w:rsid w:val="002E2EA8"/>
    <w:rsid w:val="0030257D"/>
    <w:rsid w:val="003109FC"/>
    <w:rsid w:val="00312508"/>
    <w:rsid w:val="00316141"/>
    <w:rsid w:val="00322B64"/>
    <w:rsid w:val="00366CB9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03EBA"/>
    <w:rsid w:val="004218B8"/>
    <w:rsid w:val="00430207"/>
    <w:rsid w:val="004357FA"/>
    <w:rsid w:val="00466C8D"/>
    <w:rsid w:val="00471D3B"/>
    <w:rsid w:val="004920E2"/>
    <w:rsid w:val="004A2B0D"/>
    <w:rsid w:val="004C64EF"/>
    <w:rsid w:val="004D719B"/>
    <w:rsid w:val="004E6138"/>
    <w:rsid w:val="004F01D0"/>
    <w:rsid w:val="004F07F6"/>
    <w:rsid w:val="00507B82"/>
    <w:rsid w:val="00512055"/>
    <w:rsid w:val="00515042"/>
    <w:rsid w:val="0053594B"/>
    <w:rsid w:val="00536B0D"/>
    <w:rsid w:val="00542FE0"/>
    <w:rsid w:val="005812D2"/>
    <w:rsid w:val="00591FAF"/>
    <w:rsid w:val="005A077C"/>
    <w:rsid w:val="005D6222"/>
    <w:rsid w:val="005D6805"/>
    <w:rsid w:val="00603A18"/>
    <w:rsid w:val="0060420E"/>
    <w:rsid w:val="006138C5"/>
    <w:rsid w:val="00615912"/>
    <w:rsid w:val="006245D0"/>
    <w:rsid w:val="00624ACA"/>
    <w:rsid w:val="00625953"/>
    <w:rsid w:val="00643C48"/>
    <w:rsid w:val="00683152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37288"/>
    <w:rsid w:val="00743D7D"/>
    <w:rsid w:val="007500DE"/>
    <w:rsid w:val="00750CE0"/>
    <w:rsid w:val="00771EB5"/>
    <w:rsid w:val="007746D3"/>
    <w:rsid w:val="00776EE7"/>
    <w:rsid w:val="007956B9"/>
    <w:rsid w:val="007B7921"/>
    <w:rsid w:val="007C6D26"/>
    <w:rsid w:val="007F0240"/>
    <w:rsid w:val="007F2873"/>
    <w:rsid w:val="00811CF3"/>
    <w:rsid w:val="008229FA"/>
    <w:rsid w:val="008417DD"/>
    <w:rsid w:val="008704CB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1665"/>
    <w:rsid w:val="00956956"/>
    <w:rsid w:val="00957B11"/>
    <w:rsid w:val="00957F60"/>
    <w:rsid w:val="009757B2"/>
    <w:rsid w:val="009B102D"/>
    <w:rsid w:val="009C3BD4"/>
    <w:rsid w:val="009D1946"/>
    <w:rsid w:val="009D60DB"/>
    <w:rsid w:val="009D76C2"/>
    <w:rsid w:val="009F2AD9"/>
    <w:rsid w:val="00A13764"/>
    <w:rsid w:val="00A32B1D"/>
    <w:rsid w:val="00A426FF"/>
    <w:rsid w:val="00A42E34"/>
    <w:rsid w:val="00A45125"/>
    <w:rsid w:val="00A61D6B"/>
    <w:rsid w:val="00A766FB"/>
    <w:rsid w:val="00A97190"/>
    <w:rsid w:val="00AA5DEC"/>
    <w:rsid w:val="00AB3276"/>
    <w:rsid w:val="00AB68EC"/>
    <w:rsid w:val="00AC3FCD"/>
    <w:rsid w:val="00AC4856"/>
    <w:rsid w:val="00AF22B8"/>
    <w:rsid w:val="00AF7E99"/>
    <w:rsid w:val="00B03705"/>
    <w:rsid w:val="00B20239"/>
    <w:rsid w:val="00B24099"/>
    <w:rsid w:val="00B24876"/>
    <w:rsid w:val="00B44B6D"/>
    <w:rsid w:val="00B52C45"/>
    <w:rsid w:val="00B77EE9"/>
    <w:rsid w:val="00B81206"/>
    <w:rsid w:val="00B84369"/>
    <w:rsid w:val="00B932B1"/>
    <w:rsid w:val="00BC1E82"/>
    <w:rsid w:val="00BD3929"/>
    <w:rsid w:val="00BD4E52"/>
    <w:rsid w:val="00BD69BF"/>
    <w:rsid w:val="00BE2B41"/>
    <w:rsid w:val="00C007B1"/>
    <w:rsid w:val="00C042DB"/>
    <w:rsid w:val="00C16E3D"/>
    <w:rsid w:val="00C24EC0"/>
    <w:rsid w:val="00C25891"/>
    <w:rsid w:val="00C327E7"/>
    <w:rsid w:val="00C556F9"/>
    <w:rsid w:val="00C6153C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04D8F"/>
    <w:rsid w:val="00D221B5"/>
    <w:rsid w:val="00D52C6B"/>
    <w:rsid w:val="00D615AC"/>
    <w:rsid w:val="00D72103"/>
    <w:rsid w:val="00D73F4A"/>
    <w:rsid w:val="00DA531D"/>
    <w:rsid w:val="00DC0084"/>
    <w:rsid w:val="00DD678A"/>
    <w:rsid w:val="00DF0764"/>
    <w:rsid w:val="00E17FAD"/>
    <w:rsid w:val="00E22FBA"/>
    <w:rsid w:val="00E2379F"/>
    <w:rsid w:val="00E4095E"/>
    <w:rsid w:val="00E5131F"/>
    <w:rsid w:val="00E51DF3"/>
    <w:rsid w:val="00E70D9D"/>
    <w:rsid w:val="00E756BE"/>
    <w:rsid w:val="00E84383"/>
    <w:rsid w:val="00E8594D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71259"/>
    <w:rsid w:val="00F74FE1"/>
    <w:rsid w:val="00F94EA3"/>
    <w:rsid w:val="00FA00CB"/>
    <w:rsid w:val="00FA12A0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7</cp:revision>
  <cp:lastPrinted>2019-02-22T14:13:00Z</cp:lastPrinted>
  <dcterms:created xsi:type="dcterms:W3CDTF">2025-12-30T10:15:00Z</dcterms:created>
  <dcterms:modified xsi:type="dcterms:W3CDTF">2026-01-06T11:11:00Z</dcterms:modified>
</cp:coreProperties>
</file>